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F8" w:rsidRPr="00135CF8" w:rsidRDefault="00135CF8" w:rsidP="00135C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135CF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ПАСПОРТ</w:t>
      </w:r>
    </w:p>
    <w:p w:rsidR="00135CF8" w:rsidRPr="00135CF8" w:rsidRDefault="00135CF8" w:rsidP="00135C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Програми соціального захисту населення </w:t>
      </w:r>
    </w:p>
    <w:p w:rsidR="00135CF8" w:rsidRPr="00135CF8" w:rsidRDefault="00135CF8" w:rsidP="00135CF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Іларіонівської</w:t>
      </w:r>
      <w:proofErr w:type="spellEnd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селищної ради на 202</w:t>
      </w:r>
      <w:r w:rsidR="00DF2368">
        <w:rPr>
          <w:rFonts w:ascii="Times New Roman" w:eastAsia="Calibri" w:hAnsi="Times New Roman" w:cs="Times New Roman"/>
          <w:sz w:val="28"/>
          <w:szCs w:val="28"/>
          <w:lang w:eastAsia="ru-RU"/>
        </w:rPr>
        <w:t>1-2025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="00DF2368">
        <w:rPr>
          <w:rFonts w:ascii="Times New Roman" w:eastAsia="Calibri" w:hAnsi="Times New Roman" w:cs="Times New Roman"/>
          <w:sz w:val="28"/>
          <w:szCs w:val="28"/>
          <w:lang w:eastAsia="ru-RU"/>
        </w:rPr>
        <w:t>оки</w:t>
      </w:r>
    </w:p>
    <w:p w:rsidR="00135CF8" w:rsidRPr="00135CF8" w:rsidRDefault="00135CF8" w:rsidP="00135CF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val="ru-RU" w:eastAsia="ru-RU"/>
        </w:rPr>
      </w:pPr>
    </w:p>
    <w:p w:rsidR="00135CF8" w:rsidRPr="00135CF8" w:rsidRDefault="00135CF8" w:rsidP="00135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1.Назва:</w:t>
      </w:r>
      <w:r w:rsidR="006217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соц</w:t>
      </w:r>
      <w:proofErr w:type="gramEnd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іального захисту населення </w:t>
      </w: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Іларіонівської</w:t>
      </w:r>
      <w:proofErr w:type="spellEnd"/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селищної ради на 202</w:t>
      </w:r>
      <w:r w:rsidR="00DF2368">
        <w:rPr>
          <w:rFonts w:ascii="Times New Roman" w:eastAsia="Calibri" w:hAnsi="Times New Roman" w:cs="Times New Roman"/>
          <w:sz w:val="28"/>
          <w:szCs w:val="28"/>
          <w:lang w:eastAsia="ru-RU"/>
        </w:rPr>
        <w:t>1-2025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</w:t>
      </w:r>
      <w:r w:rsidR="00DF2368">
        <w:rPr>
          <w:rFonts w:ascii="Times New Roman" w:eastAsia="Calibri" w:hAnsi="Times New Roman" w:cs="Times New Roman"/>
          <w:sz w:val="28"/>
          <w:szCs w:val="28"/>
          <w:lang w:eastAsia="ru-RU"/>
        </w:rPr>
        <w:t>оки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5CF8" w:rsidRPr="00135CF8" w:rsidRDefault="00135CF8" w:rsidP="00135C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135CF8" w:rsidRDefault="00135CF8" w:rsidP="00135C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2.Підстава для розроблення: закони України </w:t>
      </w:r>
      <w:r w:rsidR="008265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«Про місцеве самоврядування в Україні», 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«Про основи соціальної захищеності інвалідів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соціальні послуги», «Про реабілітацію інвалідів в Україні», «Про поховання та похоронну справу» та постанови Кабінету Міністрів</w:t>
      </w:r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України від 20.08.2014 року № 413 «Про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проведення»,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померлого».</w:t>
      </w:r>
    </w:p>
    <w:p w:rsidR="00135CF8" w:rsidRPr="00135CF8" w:rsidRDefault="00135CF8" w:rsidP="00135C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CF8" w:rsidRPr="00135CF8" w:rsidRDefault="00135CF8" w:rsidP="00135CF8">
      <w:pPr>
        <w:shd w:val="clear" w:color="auto" w:fill="FFFFFF"/>
        <w:spacing w:after="0" w:line="293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3.Мета: вирішення невідкладних питань матеріально-побутового, медичного обслуговування пільгових категорій громадян селищної ради, здійснення конкретних заходів, спрямованих на забезпечення права кожного громадянина на достатній життєвий рівень, надання адресної підтримки незахищеним верствам населення та громадянам, які опинилися в екстремальних обставинах та в складних життєвих ситуаціях.</w:t>
      </w:r>
    </w:p>
    <w:p w:rsidR="00135CF8" w:rsidRPr="00135CF8" w:rsidRDefault="00135CF8" w:rsidP="00135CF8">
      <w:pPr>
        <w:shd w:val="clear" w:color="auto" w:fill="FFFFFF"/>
        <w:spacing w:after="0" w:line="293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135CF8" w:rsidRDefault="00135CF8" w:rsidP="00621711">
      <w:pPr>
        <w:shd w:val="clear" w:color="auto" w:fill="FFFFFF"/>
        <w:tabs>
          <w:tab w:val="left" w:pos="567"/>
          <w:tab w:val="left" w:pos="709"/>
        </w:tabs>
        <w:spacing w:after="0" w:line="29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4.ЗамовникПрограми: 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иконком</w:t>
      </w:r>
      <w:r w:rsidR="00621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Іларіонівської</w:t>
      </w:r>
      <w:proofErr w:type="spellEnd"/>
      <w:r w:rsidR="00621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селищної ради.</w:t>
      </w:r>
    </w:p>
    <w:p w:rsidR="00135CF8" w:rsidRPr="00135CF8" w:rsidRDefault="00135CF8" w:rsidP="00621711">
      <w:pPr>
        <w:shd w:val="clear" w:color="auto" w:fill="FFFFFF"/>
        <w:tabs>
          <w:tab w:val="left" w:pos="567"/>
          <w:tab w:val="left" w:pos="709"/>
        </w:tabs>
        <w:spacing w:after="0" w:line="29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D94E02" w:rsidRDefault="00135CF8" w:rsidP="00621711">
      <w:pPr>
        <w:spacing w:after="0" w:line="240" w:lineRule="auto"/>
        <w:ind w:firstLineChars="253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Початок: 20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24D4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рік; закінчення: 20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24D4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94E02">
        <w:rPr>
          <w:rFonts w:ascii="Times New Roman" w:eastAsia="Calibri" w:hAnsi="Times New Roman" w:cs="Times New Roman"/>
          <w:sz w:val="28"/>
          <w:szCs w:val="28"/>
          <w:lang w:eastAsia="ru-RU"/>
        </w:rPr>
        <w:t>рік.</w:t>
      </w:r>
    </w:p>
    <w:p w:rsidR="00135CF8" w:rsidRPr="00135CF8" w:rsidRDefault="00135CF8" w:rsidP="00621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135CF8" w:rsidRDefault="00135CF8" w:rsidP="00621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6.Етапивиконання: </w:t>
      </w: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="006217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виконується</w:t>
      </w:r>
      <w:proofErr w:type="spellEnd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в один </w:t>
      </w:r>
      <w:proofErr w:type="spellStart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етап</w:t>
      </w:r>
      <w:proofErr w:type="spellEnd"/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135CF8" w:rsidRPr="00135CF8" w:rsidRDefault="00135CF8" w:rsidP="00621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824D49" w:rsidRDefault="00135CF8" w:rsidP="006217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7.</w:t>
      </w:r>
      <w:r w:rsidR="00824D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Обсяг</w:t>
      </w:r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фінансування</w:t>
      </w:r>
      <w:r w:rsidR="00824D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 в  межах</w:t>
      </w:r>
      <w:r w:rsidR="006217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24D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затверджених</w:t>
      </w:r>
      <w:proofErr w:type="spellEnd"/>
      <w:r w:rsidR="006217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24D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="0062171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24D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асигнувань</w:t>
      </w:r>
      <w:proofErr w:type="spellEnd"/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269"/>
        <w:gridCol w:w="1134"/>
        <w:gridCol w:w="1134"/>
        <w:gridCol w:w="1100"/>
        <w:gridCol w:w="1168"/>
        <w:gridCol w:w="1134"/>
        <w:gridCol w:w="1916"/>
      </w:tblGrid>
      <w:tr w:rsidR="00824D49" w:rsidTr="0046741B">
        <w:trPr>
          <w:trHeight w:val="384"/>
        </w:trPr>
        <w:tc>
          <w:tcPr>
            <w:tcW w:w="2269" w:type="dxa"/>
            <w:vMerge w:val="restart"/>
          </w:tcPr>
          <w:p w:rsidR="00824D49" w:rsidRDefault="00824D49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bookmarkStart w:id="0" w:name="_Hlk57364760"/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Джерела</w:t>
            </w:r>
            <w:proofErr w:type="spellEnd"/>
            <w:r w:rsidR="0062171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5670" w:type="dxa"/>
            <w:gridSpan w:val="5"/>
          </w:tcPr>
          <w:p w:rsidR="00824D49" w:rsidRDefault="00824D49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За роками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  <w:p w:rsidR="00824D49" w:rsidRDefault="00824D49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16" w:type="dxa"/>
            <w:vMerge w:val="restart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Всього</w:t>
            </w:r>
            <w:proofErr w:type="spellEnd"/>
            <w:r w:rsidR="0062171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витрат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62171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</w:tr>
      <w:tr w:rsidR="00824D49" w:rsidTr="0046741B">
        <w:trPr>
          <w:trHeight w:val="252"/>
        </w:trPr>
        <w:tc>
          <w:tcPr>
            <w:tcW w:w="2269" w:type="dxa"/>
            <w:vMerge/>
          </w:tcPr>
          <w:p w:rsidR="00824D49" w:rsidRPr="00135CF8" w:rsidRDefault="00824D49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824D49" w:rsidRDefault="00E55D9E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2021</w:t>
            </w:r>
          </w:p>
        </w:tc>
        <w:tc>
          <w:tcPr>
            <w:tcW w:w="1134" w:type="dxa"/>
          </w:tcPr>
          <w:p w:rsidR="00824D49" w:rsidRDefault="00E55D9E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2022</w:t>
            </w:r>
          </w:p>
        </w:tc>
        <w:tc>
          <w:tcPr>
            <w:tcW w:w="1100" w:type="dxa"/>
          </w:tcPr>
          <w:p w:rsidR="00824D49" w:rsidRDefault="00E55D9E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2023</w:t>
            </w:r>
          </w:p>
        </w:tc>
        <w:tc>
          <w:tcPr>
            <w:tcW w:w="1168" w:type="dxa"/>
          </w:tcPr>
          <w:p w:rsidR="00824D49" w:rsidRDefault="00E55D9E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2024</w:t>
            </w:r>
          </w:p>
        </w:tc>
        <w:tc>
          <w:tcPr>
            <w:tcW w:w="1134" w:type="dxa"/>
          </w:tcPr>
          <w:p w:rsidR="00824D49" w:rsidRDefault="00E55D9E" w:rsidP="00824D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2025</w:t>
            </w:r>
          </w:p>
        </w:tc>
        <w:tc>
          <w:tcPr>
            <w:tcW w:w="1916" w:type="dxa"/>
            <w:vMerge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24D49" w:rsidTr="0046741B">
        <w:tc>
          <w:tcPr>
            <w:tcW w:w="2269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00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68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916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24D49" w:rsidTr="0046741B">
        <w:tc>
          <w:tcPr>
            <w:tcW w:w="2269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00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68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916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6741B" w:rsidTr="0046741B">
        <w:tc>
          <w:tcPr>
            <w:tcW w:w="2269" w:type="dxa"/>
          </w:tcPr>
          <w:p w:rsidR="0046741B" w:rsidRDefault="0046741B" w:rsidP="004674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елищний</w:t>
            </w:r>
            <w:proofErr w:type="spellEnd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1134" w:type="dxa"/>
          </w:tcPr>
          <w:p w:rsidR="0046741B" w:rsidRDefault="0046741B" w:rsidP="004674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913785</w:t>
            </w:r>
          </w:p>
        </w:tc>
        <w:tc>
          <w:tcPr>
            <w:tcW w:w="1134" w:type="dxa"/>
          </w:tcPr>
          <w:p w:rsidR="0046741B" w:rsidRDefault="0046741B" w:rsidP="004674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642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913785</w:t>
            </w:r>
          </w:p>
        </w:tc>
        <w:tc>
          <w:tcPr>
            <w:tcW w:w="1100" w:type="dxa"/>
          </w:tcPr>
          <w:p w:rsidR="0046741B" w:rsidRDefault="0046741B" w:rsidP="004674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642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913785</w:t>
            </w:r>
          </w:p>
        </w:tc>
        <w:tc>
          <w:tcPr>
            <w:tcW w:w="1168" w:type="dxa"/>
          </w:tcPr>
          <w:p w:rsidR="0046741B" w:rsidRDefault="0046741B" w:rsidP="004674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642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913785</w:t>
            </w:r>
          </w:p>
        </w:tc>
        <w:tc>
          <w:tcPr>
            <w:tcW w:w="1134" w:type="dxa"/>
          </w:tcPr>
          <w:p w:rsidR="0046741B" w:rsidRDefault="0046741B" w:rsidP="0046741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C6423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913785</w:t>
            </w:r>
          </w:p>
        </w:tc>
        <w:tc>
          <w:tcPr>
            <w:tcW w:w="1916" w:type="dxa"/>
          </w:tcPr>
          <w:p w:rsidR="0046741B" w:rsidRDefault="0046741B" w:rsidP="0046741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4 568 952,00</w:t>
            </w:r>
          </w:p>
        </w:tc>
      </w:tr>
      <w:tr w:rsidR="00824D49" w:rsidTr="0046741B">
        <w:tc>
          <w:tcPr>
            <w:tcW w:w="2269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="00621711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35CF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00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68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824D49" w:rsidRDefault="00E55D9E" w:rsidP="00E55D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916" w:type="dxa"/>
          </w:tcPr>
          <w:p w:rsidR="00824D49" w:rsidRDefault="00824D49" w:rsidP="00135CF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bookmarkEnd w:id="0"/>
    <w:p w:rsidR="00135CF8" w:rsidRPr="00135CF8" w:rsidRDefault="00135CF8" w:rsidP="00135C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:</w:t>
      </w:r>
    </w:p>
    <w:p w:rsidR="00135CF8" w:rsidRPr="00135CF8" w:rsidRDefault="00135CF8" w:rsidP="00135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8.Очікувані результати виконання: виконання даної Програми дасть змогу покращити побутові умови громадян пільгової категорії,</w:t>
      </w:r>
      <w:r w:rsidR="007764BF"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підвищити </w:t>
      </w:r>
      <w:r w:rsidR="007764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їх </w:t>
      </w:r>
      <w:r w:rsidR="007764BF"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рівень життя</w:t>
      </w:r>
      <w:r w:rsidR="007764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вирішити проблему соціальної </w:t>
      </w:r>
      <w:r w:rsidR="007764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 матеріальної 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підтримки </w:t>
      </w:r>
      <w:r w:rsidR="007764BF">
        <w:rPr>
          <w:rFonts w:ascii="Times New Roman" w:eastAsia="Calibri" w:hAnsi="Times New Roman" w:cs="Times New Roman"/>
          <w:sz w:val="28"/>
          <w:szCs w:val="28"/>
          <w:lang w:eastAsia="ru-RU"/>
        </w:rPr>
        <w:t>найбільш вразливих верств населення</w:t>
      </w:r>
      <w:r w:rsidR="007764BF"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реалізувати Закон України «Про поховання та похоронну справу».</w:t>
      </w:r>
    </w:p>
    <w:p w:rsidR="00135CF8" w:rsidRPr="00135CF8" w:rsidRDefault="00135CF8" w:rsidP="00135CF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5CF8" w:rsidRPr="00135CF8" w:rsidRDefault="00135CF8" w:rsidP="00135C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9.Контроль за виконанням: здійснює постійна комісія селищної ради з питань </w:t>
      </w:r>
      <w:r w:rsidRPr="00135CF8">
        <w:rPr>
          <w:rFonts w:ascii="Times New Roman" w:eastAsia="Calibri" w:hAnsi="Times New Roman" w:cs="Times New Roman"/>
          <w:sz w:val="28"/>
          <w:szCs w:val="28"/>
          <w:lang w:eastAsia="ru-RU"/>
        </w:rPr>
        <w:t>освіти, охорони здоров’я, культури, молоді, спорту та соціального захисту населення</w:t>
      </w:r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 результатами року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</w:t>
      </w:r>
      <w:r w:rsidR="0062171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62171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хід</w:t>
      </w:r>
      <w:proofErr w:type="spellEnd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62171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="0062171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заслух</w:t>
      </w:r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овується</w:t>
      </w:r>
      <w:proofErr w:type="spellEnd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сесії</w:t>
      </w:r>
      <w:proofErr w:type="spellEnd"/>
      <w:r w:rsidR="0062171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селищної</w:t>
      </w:r>
      <w:proofErr w:type="spellEnd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ради</w:t>
      </w:r>
      <w:proofErr w:type="gramEnd"/>
      <w:r w:rsidRPr="00135CF8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5CF8" w:rsidRPr="00135CF8" w:rsidRDefault="00135CF8" w:rsidP="00135C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21711" w:rsidRPr="00621711" w:rsidRDefault="00621711" w:rsidP="0062171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1711">
        <w:rPr>
          <w:rFonts w:ascii="Times New Roman" w:hAnsi="Times New Roman" w:cs="Times New Roman"/>
          <w:color w:val="000000"/>
          <w:sz w:val="28"/>
          <w:szCs w:val="28"/>
        </w:rPr>
        <w:t>Селищний голова                                          Д.І.ЕКЗАРХОВ</w:t>
      </w: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Pr="00135CF8" w:rsidRDefault="00135CF8" w:rsidP="00135CF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135CF8" w:rsidRDefault="00135CF8"/>
    <w:sectPr w:rsidR="00135CF8" w:rsidSect="00B962FE">
      <w:pgSz w:w="11906" w:h="16838"/>
      <w:pgMar w:top="85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A3D"/>
    <w:multiLevelType w:val="multilevel"/>
    <w:tmpl w:val="8B0CF64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3535C"/>
    <w:multiLevelType w:val="hybridMultilevel"/>
    <w:tmpl w:val="990A95A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7AC3"/>
    <w:multiLevelType w:val="hybridMultilevel"/>
    <w:tmpl w:val="34C85A1E"/>
    <w:lvl w:ilvl="0" w:tplc="26087B2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F0531"/>
    <w:multiLevelType w:val="multilevel"/>
    <w:tmpl w:val="58AF053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861C0E"/>
    <w:rsid w:val="00090F54"/>
    <w:rsid w:val="000D55B4"/>
    <w:rsid w:val="00130B18"/>
    <w:rsid w:val="00135CF8"/>
    <w:rsid w:val="001A4CA2"/>
    <w:rsid w:val="00207DED"/>
    <w:rsid w:val="00214152"/>
    <w:rsid w:val="002D52BF"/>
    <w:rsid w:val="002D71D3"/>
    <w:rsid w:val="003E5637"/>
    <w:rsid w:val="003F5C77"/>
    <w:rsid w:val="00450120"/>
    <w:rsid w:val="004604C6"/>
    <w:rsid w:val="0046741B"/>
    <w:rsid w:val="004B31F3"/>
    <w:rsid w:val="004F404A"/>
    <w:rsid w:val="005B6CA7"/>
    <w:rsid w:val="00621711"/>
    <w:rsid w:val="00626735"/>
    <w:rsid w:val="006A6816"/>
    <w:rsid w:val="006D2E01"/>
    <w:rsid w:val="00764059"/>
    <w:rsid w:val="007764BF"/>
    <w:rsid w:val="007843C0"/>
    <w:rsid w:val="007E427E"/>
    <w:rsid w:val="00824D49"/>
    <w:rsid w:val="008265FC"/>
    <w:rsid w:val="00861C0E"/>
    <w:rsid w:val="00904196"/>
    <w:rsid w:val="009A5926"/>
    <w:rsid w:val="00A9411F"/>
    <w:rsid w:val="00AA57D5"/>
    <w:rsid w:val="00AE00E0"/>
    <w:rsid w:val="00B441DD"/>
    <w:rsid w:val="00B962FE"/>
    <w:rsid w:val="00BE2848"/>
    <w:rsid w:val="00BE50B3"/>
    <w:rsid w:val="00C96D1B"/>
    <w:rsid w:val="00CF3244"/>
    <w:rsid w:val="00CF4F5F"/>
    <w:rsid w:val="00D65239"/>
    <w:rsid w:val="00D94E02"/>
    <w:rsid w:val="00D96257"/>
    <w:rsid w:val="00DF2368"/>
    <w:rsid w:val="00E242AA"/>
    <w:rsid w:val="00E55D9E"/>
    <w:rsid w:val="00EE6C0E"/>
    <w:rsid w:val="00EF5A22"/>
    <w:rsid w:val="00F20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D6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3">
    <w:name w:val="fs3"/>
    <w:basedOn w:val="a0"/>
    <w:rsid w:val="00D65239"/>
  </w:style>
  <w:style w:type="paragraph" w:styleId="a3">
    <w:name w:val="No Spacing"/>
    <w:qFormat/>
    <w:rsid w:val="007E427E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val="ru-RU" w:eastAsia="ru-RU"/>
    </w:rPr>
  </w:style>
  <w:style w:type="character" w:customStyle="1" w:styleId="rvts23">
    <w:name w:val="rvts23"/>
    <w:rsid w:val="007E427E"/>
  </w:style>
  <w:style w:type="table" w:styleId="a4">
    <w:name w:val="Table Grid"/>
    <w:basedOn w:val="a1"/>
    <w:uiPriority w:val="39"/>
    <w:rsid w:val="0082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3</cp:revision>
  <cp:lastPrinted>2020-11-27T10:58:00Z</cp:lastPrinted>
  <dcterms:created xsi:type="dcterms:W3CDTF">2020-12-29T07:31:00Z</dcterms:created>
  <dcterms:modified xsi:type="dcterms:W3CDTF">2020-12-29T07:34:00Z</dcterms:modified>
</cp:coreProperties>
</file>